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C8D" w:rsidRPr="00CB53BE" w:rsidRDefault="00F80C8D" w:rsidP="00F80C8D">
      <w:pPr>
        <w:rPr>
          <w:rFonts w:ascii="Arial" w:hAnsi="Arial" w:cs="Arial"/>
          <w:b/>
          <w:color w:val="FF0000"/>
          <w:sz w:val="22"/>
          <w:szCs w:val="22"/>
        </w:rPr>
      </w:pPr>
      <w:r w:rsidRPr="00CB53BE">
        <w:rPr>
          <w:rFonts w:ascii="Arial" w:hAnsi="Arial" w:cs="Arial"/>
          <w:b/>
          <w:color w:val="FF0000"/>
          <w:sz w:val="22"/>
          <w:szCs w:val="22"/>
        </w:rPr>
        <w:t>VIII. DANE DOTYCZĄCE WARUNKÓW OCHRONY PRZECIWPOŻAROWEJ OBIEKTU,</w:t>
      </w:r>
    </w:p>
    <w:p w:rsidR="00F80C8D" w:rsidRPr="00CB53BE" w:rsidRDefault="00F80C8D" w:rsidP="00F80C8D">
      <w:pPr>
        <w:rPr>
          <w:rFonts w:ascii="Arial" w:hAnsi="Arial" w:cs="Arial"/>
          <w:b/>
          <w:sz w:val="22"/>
          <w:szCs w:val="22"/>
        </w:rPr>
      </w:pPr>
      <w:r w:rsidRPr="00CB53BE">
        <w:rPr>
          <w:rFonts w:ascii="Arial" w:hAnsi="Arial" w:cs="Arial"/>
          <w:b/>
          <w:sz w:val="22"/>
          <w:szCs w:val="22"/>
        </w:rPr>
        <w:t>1. Powierzchnia, wysokość i liczba kondygnacji:</w:t>
      </w:r>
    </w:p>
    <w:p w:rsidR="00F80C8D" w:rsidRPr="00CB53BE" w:rsidRDefault="00F80C8D" w:rsidP="00F80C8D">
      <w:pPr>
        <w:rPr>
          <w:rFonts w:ascii="Arial" w:hAnsi="Arial" w:cs="Arial"/>
          <w:b/>
          <w:bCs/>
          <w:sz w:val="22"/>
          <w:szCs w:val="22"/>
        </w:rPr>
      </w:pPr>
    </w:p>
    <w:p w:rsidR="00F80C8D" w:rsidRPr="00CB53BE" w:rsidRDefault="00F80C8D" w:rsidP="00F80C8D">
      <w:pPr>
        <w:autoSpaceDE w:val="0"/>
        <w:autoSpaceDN w:val="0"/>
        <w:adjustRightInd w:val="0"/>
        <w:rPr>
          <w:rFonts w:ascii="Arial" w:hAnsi="Arial" w:cs="Arial"/>
          <w:b/>
          <w:sz w:val="22"/>
          <w:szCs w:val="22"/>
          <w:u w:val="single"/>
        </w:rPr>
      </w:pPr>
      <w:r w:rsidRPr="00CB53BE">
        <w:rPr>
          <w:rFonts w:ascii="Arial" w:hAnsi="Arial" w:cs="Arial"/>
          <w:b/>
          <w:sz w:val="22"/>
          <w:szCs w:val="22"/>
          <w:u w:val="single"/>
        </w:rPr>
        <w:t>Dane techniczne budynku:</w:t>
      </w:r>
    </w:p>
    <w:p w:rsidR="00F80C8D" w:rsidRPr="00CB53BE" w:rsidRDefault="00F80C8D" w:rsidP="00F80C8D">
      <w:pPr>
        <w:rPr>
          <w:rFonts w:ascii="Arial" w:hAnsi="Arial" w:cs="Arial"/>
          <w:b/>
          <w:bCs/>
          <w:i/>
          <w:sz w:val="22"/>
          <w:szCs w:val="22"/>
          <w:vertAlign w:val="superscript"/>
        </w:rPr>
      </w:pPr>
      <w:r w:rsidRPr="00CB53BE">
        <w:rPr>
          <w:rFonts w:ascii="Arial" w:hAnsi="Arial" w:cs="Arial"/>
          <w:b/>
          <w:bCs/>
          <w:i/>
          <w:sz w:val="22"/>
          <w:szCs w:val="22"/>
        </w:rPr>
        <w:t>Powierzchnia zabudowy wg PN-ISO 9836 1997</w:t>
      </w:r>
      <w:r w:rsidRPr="00CB53BE">
        <w:rPr>
          <w:rFonts w:ascii="Arial" w:hAnsi="Arial" w:cs="Arial"/>
          <w:b/>
          <w:bCs/>
          <w:i/>
          <w:sz w:val="22"/>
          <w:szCs w:val="22"/>
        </w:rPr>
        <w:tab/>
        <w:t xml:space="preserve"> </w:t>
      </w:r>
      <w:r w:rsidRPr="00CB53BE">
        <w:rPr>
          <w:rFonts w:ascii="Arial" w:hAnsi="Arial" w:cs="Arial"/>
          <w:b/>
          <w:bCs/>
          <w:i/>
          <w:sz w:val="22"/>
          <w:szCs w:val="22"/>
        </w:rPr>
        <w:tab/>
        <w:t xml:space="preserve"> </w:t>
      </w:r>
      <w:r w:rsidRPr="00CB53BE">
        <w:rPr>
          <w:rFonts w:ascii="Arial" w:hAnsi="Arial" w:cs="Arial"/>
          <w:b/>
          <w:bCs/>
          <w:i/>
          <w:sz w:val="22"/>
          <w:szCs w:val="22"/>
        </w:rPr>
        <w:tab/>
      </w:r>
      <w:r w:rsidRPr="00CB53BE">
        <w:rPr>
          <w:rFonts w:ascii="Arial" w:hAnsi="Arial" w:cs="Arial"/>
          <w:b/>
          <w:bCs/>
          <w:i/>
          <w:sz w:val="22"/>
          <w:szCs w:val="22"/>
        </w:rPr>
        <w:tab/>
      </w:r>
      <w:r w:rsidRPr="00CB53BE">
        <w:rPr>
          <w:rFonts w:ascii="Arial" w:hAnsi="Arial" w:cs="Arial"/>
          <w:b/>
          <w:bCs/>
          <w:i/>
          <w:sz w:val="22"/>
          <w:szCs w:val="22"/>
        </w:rPr>
        <w:tab/>
        <w:t xml:space="preserve">  259,60 m</w:t>
      </w:r>
      <w:r w:rsidRPr="00CB53BE">
        <w:rPr>
          <w:rFonts w:ascii="Arial" w:hAnsi="Arial" w:cs="Arial"/>
          <w:b/>
          <w:bCs/>
          <w:i/>
          <w:sz w:val="22"/>
          <w:szCs w:val="22"/>
          <w:vertAlign w:val="superscript"/>
        </w:rPr>
        <w:t>2</w:t>
      </w:r>
    </w:p>
    <w:p w:rsidR="00F80C8D" w:rsidRPr="00CB53BE" w:rsidRDefault="00F80C8D" w:rsidP="00F80C8D">
      <w:pPr>
        <w:rPr>
          <w:rFonts w:ascii="Arial" w:hAnsi="Arial" w:cs="Arial"/>
          <w:bCs/>
          <w:i/>
          <w:sz w:val="22"/>
          <w:szCs w:val="22"/>
        </w:rPr>
      </w:pPr>
      <w:r w:rsidRPr="00CB53BE">
        <w:rPr>
          <w:rFonts w:ascii="Arial" w:hAnsi="Arial" w:cs="Arial"/>
          <w:bCs/>
          <w:i/>
          <w:sz w:val="22"/>
          <w:szCs w:val="22"/>
        </w:rPr>
        <w:t>Powierzchnia użytkowa parteru    179,30</w:t>
      </w:r>
      <w:r w:rsidRPr="00CB53BE">
        <w:rPr>
          <w:rFonts w:ascii="Arial" w:hAnsi="Arial" w:cs="Arial"/>
          <w:bCs/>
          <w:i/>
          <w:sz w:val="22"/>
          <w:szCs w:val="22"/>
        </w:rPr>
        <w:tab/>
        <w:t>m</w:t>
      </w:r>
      <w:r w:rsidRPr="00CB53BE">
        <w:rPr>
          <w:rFonts w:ascii="Arial" w:hAnsi="Arial" w:cs="Arial"/>
          <w:bCs/>
          <w:i/>
          <w:sz w:val="22"/>
          <w:szCs w:val="22"/>
          <w:vertAlign w:val="superscript"/>
        </w:rPr>
        <w:t>2</w:t>
      </w:r>
      <w:r w:rsidRPr="00CB53BE">
        <w:rPr>
          <w:rFonts w:ascii="Arial" w:hAnsi="Arial" w:cs="Arial"/>
          <w:bCs/>
          <w:i/>
          <w:sz w:val="22"/>
          <w:szCs w:val="22"/>
        </w:rPr>
        <w:t>, w tym mieszkanie zajmuje</w:t>
      </w:r>
      <w:r w:rsidRPr="00CB53BE">
        <w:rPr>
          <w:rFonts w:ascii="Arial" w:hAnsi="Arial" w:cs="Arial"/>
          <w:bCs/>
          <w:i/>
          <w:sz w:val="22"/>
          <w:szCs w:val="22"/>
        </w:rPr>
        <w:tab/>
        <w:t xml:space="preserve">    </w:t>
      </w:r>
      <w:smartTag w:uri="urn:schemas-microsoft-com:office:smarttags" w:element="metricconverter">
        <w:smartTagPr>
          <w:attr w:name="ProductID" w:val="64,50 m2"/>
        </w:smartTagPr>
        <w:r w:rsidRPr="00CB53BE">
          <w:rPr>
            <w:rFonts w:ascii="Arial" w:hAnsi="Arial" w:cs="Arial"/>
            <w:bCs/>
            <w:i/>
            <w:sz w:val="22"/>
            <w:szCs w:val="22"/>
          </w:rPr>
          <w:t>64,50 m</w:t>
        </w:r>
        <w:r w:rsidRPr="00CB53BE">
          <w:rPr>
            <w:rFonts w:ascii="Arial" w:hAnsi="Arial" w:cs="Arial"/>
            <w:bCs/>
            <w:i/>
            <w:sz w:val="22"/>
            <w:szCs w:val="22"/>
            <w:vertAlign w:val="superscript"/>
          </w:rPr>
          <w:t>2</w:t>
        </w:r>
      </w:smartTag>
      <w:r w:rsidRPr="00CB53BE">
        <w:rPr>
          <w:rFonts w:ascii="Arial" w:hAnsi="Arial" w:cs="Arial"/>
          <w:bCs/>
          <w:i/>
          <w:sz w:val="22"/>
          <w:szCs w:val="22"/>
        </w:rPr>
        <w:t xml:space="preserve"> </w:t>
      </w:r>
    </w:p>
    <w:p w:rsidR="00F80C8D" w:rsidRPr="00CB53BE" w:rsidRDefault="00F80C8D" w:rsidP="00F80C8D">
      <w:pPr>
        <w:rPr>
          <w:rFonts w:ascii="Arial" w:hAnsi="Arial" w:cs="Arial"/>
          <w:bCs/>
          <w:i/>
          <w:sz w:val="22"/>
          <w:szCs w:val="22"/>
        </w:rPr>
      </w:pPr>
      <w:r w:rsidRPr="00CB53BE">
        <w:rPr>
          <w:rFonts w:ascii="Arial" w:hAnsi="Arial" w:cs="Arial"/>
          <w:bCs/>
          <w:i/>
          <w:sz w:val="22"/>
          <w:szCs w:val="22"/>
        </w:rPr>
        <w:t>Powierzchnia użytkowa piwnic       97,70 m</w:t>
      </w:r>
      <w:r w:rsidRPr="00CB53BE">
        <w:rPr>
          <w:rFonts w:ascii="Arial" w:hAnsi="Arial" w:cs="Arial"/>
          <w:bCs/>
          <w:i/>
          <w:sz w:val="22"/>
          <w:szCs w:val="22"/>
          <w:vertAlign w:val="superscript"/>
        </w:rPr>
        <w:t>2</w:t>
      </w:r>
      <w:r w:rsidRPr="00CB53BE">
        <w:rPr>
          <w:rFonts w:ascii="Arial" w:hAnsi="Arial" w:cs="Arial"/>
          <w:bCs/>
          <w:i/>
          <w:sz w:val="22"/>
          <w:szCs w:val="22"/>
        </w:rPr>
        <w:t>, w tym część należąca do mieszkania zajmuje</w:t>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t xml:space="preserve">    21,30 m</w:t>
      </w:r>
      <w:r w:rsidRPr="00CB53BE">
        <w:rPr>
          <w:rFonts w:ascii="Arial" w:hAnsi="Arial" w:cs="Arial"/>
          <w:bCs/>
          <w:i/>
          <w:sz w:val="22"/>
          <w:szCs w:val="22"/>
          <w:vertAlign w:val="superscript"/>
        </w:rPr>
        <w:t>2</w:t>
      </w:r>
      <w:r w:rsidRPr="00CB53BE">
        <w:rPr>
          <w:rFonts w:ascii="Arial" w:hAnsi="Arial" w:cs="Arial"/>
          <w:bCs/>
          <w:i/>
          <w:sz w:val="22"/>
          <w:szCs w:val="22"/>
        </w:rPr>
        <w:t xml:space="preserve"> </w:t>
      </w:r>
    </w:p>
    <w:p w:rsidR="00F80C8D" w:rsidRPr="00CB53BE" w:rsidRDefault="00F80C8D" w:rsidP="00F80C8D">
      <w:pPr>
        <w:rPr>
          <w:rFonts w:ascii="Arial" w:hAnsi="Arial" w:cs="Arial"/>
          <w:bCs/>
          <w:i/>
          <w:sz w:val="22"/>
          <w:szCs w:val="22"/>
        </w:rPr>
      </w:pPr>
      <w:r w:rsidRPr="00CB53BE">
        <w:rPr>
          <w:rFonts w:ascii="Arial" w:hAnsi="Arial" w:cs="Arial"/>
          <w:bCs/>
          <w:i/>
          <w:sz w:val="22"/>
          <w:szCs w:val="22"/>
        </w:rPr>
        <w:t xml:space="preserve">Powierzchnia użytkowa poddasza      </w:t>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r>
      <w:r w:rsidRPr="00CB53BE">
        <w:rPr>
          <w:rFonts w:ascii="Arial" w:hAnsi="Arial" w:cs="Arial"/>
          <w:bCs/>
          <w:i/>
          <w:sz w:val="22"/>
          <w:szCs w:val="22"/>
        </w:rPr>
        <w:tab/>
        <w:t xml:space="preserve">  149,80 m</w:t>
      </w:r>
      <w:r w:rsidRPr="00CB53BE">
        <w:rPr>
          <w:rFonts w:ascii="Arial" w:hAnsi="Arial" w:cs="Arial"/>
          <w:bCs/>
          <w:i/>
          <w:sz w:val="22"/>
          <w:szCs w:val="22"/>
          <w:vertAlign w:val="superscript"/>
        </w:rPr>
        <w:t>2</w:t>
      </w:r>
    </w:p>
    <w:p w:rsidR="00F80C8D" w:rsidRPr="00CB53BE" w:rsidRDefault="00F80C8D" w:rsidP="00F80C8D">
      <w:pPr>
        <w:rPr>
          <w:rFonts w:ascii="Arial" w:hAnsi="Arial" w:cs="Arial"/>
          <w:b/>
          <w:bCs/>
          <w:i/>
          <w:sz w:val="22"/>
          <w:szCs w:val="22"/>
        </w:rPr>
      </w:pPr>
      <w:r w:rsidRPr="00CB53BE">
        <w:rPr>
          <w:rFonts w:ascii="Arial" w:hAnsi="Arial" w:cs="Arial"/>
          <w:b/>
          <w:bCs/>
          <w:i/>
          <w:sz w:val="22"/>
          <w:szCs w:val="22"/>
        </w:rPr>
        <w:t>Kubatura</w:t>
      </w:r>
      <w:r w:rsidRPr="00CB53BE">
        <w:rPr>
          <w:rFonts w:ascii="Arial" w:hAnsi="Arial" w:cs="Arial"/>
          <w:b/>
          <w:bCs/>
          <w:i/>
          <w:sz w:val="22"/>
          <w:szCs w:val="22"/>
        </w:rPr>
        <w:tab/>
        <w:t xml:space="preserve"> wg PN-ISO 9836 1997</w:t>
      </w:r>
      <w:r w:rsidRPr="00CB53BE">
        <w:rPr>
          <w:rFonts w:ascii="Arial" w:hAnsi="Arial" w:cs="Arial"/>
          <w:b/>
          <w:bCs/>
          <w:i/>
          <w:sz w:val="22"/>
          <w:szCs w:val="22"/>
        </w:rPr>
        <w:tab/>
      </w:r>
      <w:r w:rsidRPr="00CB53BE">
        <w:rPr>
          <w:rFonts w:ascii="Arial" w:hAnsi="Arial" w:cs="Arial"/>
          <w:b/>
          <w:bCs/>
          <w:i/>
          <w:sz w:val="22"/>
          <w:szCs w:val="22"/>
        </w:rPr>
        <w:tab/>
        <w:t xml:space="preserve"> </w:t>
      </w:r>
      <w:r w:rsidRPr="00CB53BE">
        <w:rPr>
          <w:rFonts w:ascii="Arial" w:hAnsi="Arial" w:cs="Arial"/>
          <w:b/>
          <w:bCs/>
          <w:i/>
          <w:sz w:val="22"/>
          <w:szCs w:val="22"/>
        </w:rPr>
        <w:tab/>
        <w:t xml:space="preserve"> </w:t>
      </w:r>
      <w:r w:rsidRPr="00CB53BE">
        <w:rPr>
          <w:rFonts w:ascii="Arial" w:hAnsi="Arial" w:cs="Arial"/>
          <w:b/>
          <w:bCs/>
          <w:i/>
          <w:sz w:val="22"/>
          <w:szCs w:val="22"/>
        </w:rPr>
        <w:tab/>
      </w:r>
      <w:r w:rsidRPr="00CB53BE">
        <w:rPr>
          <w:rFonts w:ascii="Arial" w:hAnsi="Arial" w:cs="Arial"/>
          <w:b/>
          <w:bCs/>
          <w:i/>
          <w:sz w:val="22"/>
          <w:szCs w:val="22"/>
        </w:rPr>
        <w:tab/>
      </w:r>
      <w:r w:rsidRPr="00CB53BE">
        <w:rPr>
          <w:rFonts w:ascii="Arial" w:hAnsi="Arial" w:cs="Arial"/>
          <w:b/>
          <w:bCs/>
          <w:i/>
          <w:sz w:val="22"/>
          <w:szCs w:val="22"/>
        </w:rPr>
        <w:tab/>
        <w:t>1900,00 m</w:t>
      </w:r>
      <w:r w:rsidRPr="00CB53BE">
        <w:rPr>
          <w:rFonts w:ascii="Arial" w:hAnsi="Arial" w:cs="Arial"/>
          <w:b/>
          <w:bCs/>
          <w:i/>
          <w:sz w:val="22"/>
          <w:szCs w:val="22"/>
          <w:vertAlign w:val="superscript"/>
        </w:rPr>
        <w:t>3</w:t>
      </w:r>
    </w:p>
    <w:p w:rsidR="00F80C8D" w:rsidRPr="00CB53BE" w:rsidRDefault="00F80C8D" w:rsidP="00F80C8D">
      <w:pPr>
        <w:rPr>
          <w:rFonts w:ascii="Arial" w:hAnsi="Arial" w:cs="Arial"/>
          <w:b/>
          <w:sz w:val="22"/>
          <w:szCs w:val="22"/>
        </w:rPr>
      </w:pP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xml:space="preserve">Wysokość do kalenicy budynku w chwili obecnej od poziomu terenu przy wejściu do budynku wynosi 810 cm a po nadbudowie wyniesie 840 cm. </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xml:space="preserve">Wysokość do kalenicy wiatrołapu w chwili obecnej od poziomu terenu przy wejściu do budynku wynosi 632 cm a po nadbudowie wyniesie 727 cm. </w:t>
      </w:r>
    </w:p>
    <w:p w:rsidR="00F80C8D" w:rsidRPr="00CB53BE" w:rsidRDefault="00F80C8D" w:rsidP="00F80C8D">
      <w:pPr>
        <w:rPr>
          <w:rFonts w:ascii="Arial" w:hAnsi="Arial" w:cs="Arial"/>
          <w:b/>
          <w:color w:val="000000"/>
          <w:sz w:val="22"/>
          <w:szCs w:val="22"/>
        </w:rPr>
      </w:pPr>
      <w:r w:rsidRPr="00CB53BE">
        <w:rPr>
          <w:rFonts w:ascii="Arial" w:hAnsi="Arial" w:cs="Arial"/>
          <w:b/>
          <w:color w:val="000000"/>
          <w:sz w:val="22"/>
          <w:szCs w:val="22"/>
        </w:rPr>
        <w:t>Liczba kondygnacji</w:t>
      </w:r>
      <w:r w:rsidRPr="00CB53BE">
        <w:rPr>
          <w:rFonts w:ascii="Arial" w:hAnsi="Arial" w:cs="Arial"/>
          <w:b/>
          <w:color w:val="000000"/>
          <w:sz w:val="22"/>
          <w:szCs w:val="22"/>
        </w:rPr>
        <w:tab/>
        <w:t>3 (nadziemne: piwnice, parter, poddasze)</w:t>
      </w:r>
    </w:p>
    <w:p w:rsidR="00F80C8D" w:rsidRPr="00CB53BE" w:rsidRDefault="00F80C8D" w:rsidP="00F80C8D">
      <w:pPr>
        <w:rPr>
          <w:rFonts w:ascii="Arial" w:hAnsi="Arial" w:cs="Arial"/>
          <w:b/>
          <w:color w:val="000000"/>
          <w:sz w:val="22"/>
          <w:szCs w:val="22"/>
        </w:rPr>
      </w:pPr>
    </w:p>
    <w:p w:rsidR="00F80C8D" w:rsidRPr="00CB53BE" w:rsidRDefault="00F80C8D" w:rsidP="00F80C8D">
      <w:pPr>
        <w:rPr>
          <w:rFonts w:ascii="Arial" w:hAnsi="Arial" w:cs="Arial"/>
          <w:b/>
          <w:bCs/>
          <w:color w:val="000000"/>
          <w:sz w:val="22"/>
          <w:szCs w:val="22"/>
        </w:rPr>
      </w:pPr>
      <w:r w:rsidRPr="00CB53BE">
        <w:rPr>
          <w:rFonts w:ascii="Arial" w:hAnsi="Arial" w:cs="Arial"/>
          <w:b/>
          <w:bCs/>
          <w:color w:val="000000"/>
          <w:sz w:val="22"/>
          <w:szCs w:val="22"/>
        </w:rPr>
        <w:t xml:space="preserve">Ze względu na wysokość budynek zakwalifikowany jest do grupy budynków niskich – wysokość budynku liczona od poziomu terenu do ostatniego stropu nad kondygnacją II piętra nie przekracza </w:t>
      </w:r>
      <w:smartTag w:uri="urn:schemas-microsoft-com:office:smarttags" w:element="metricconverter">
        <w:smartTagPr>
          <w:attr w:name="ProductID" w:val="12 m"/>
        </w:smartTagPr>
        <w:r w:rsidRPr="00CB53BE">
          <w:rPr>
            <w:rFonts w:ascii="Arial" w:hAnsi="Arial" w:cs="Arial"/>
            <w:b/>
            <w:bCs/>
            <w:color w:val="000000"/>
            <w:sz w:val="22"/>
            <w:szCs w:val="22"/>
          </w:rPr>
          <w:t>12 m</w:t>
        </w:r>
      </w:smartTag>
      <w:r w:rsidRPr="00CB53BE">
        <w:rPr>
          <w:rFonts w:ascii="Arial" w:hAnsi="Arial" w:cs="Arial"/>
          <w:b/>
          <w:bCs/>
          <w:color w:val="000000"/>
          <w:sz w:val="22"/>
          <w:szCs w:val="22"/>
        </w:rPr>
        <w:t xml:space="preserve"> – budynek niski.</w:t>
      </w:r>
    </w:p>
    <w:p w:rsidR="00F80C8D" w:rsidRPr="00CB53BE" w:rsidRDefault="00F80C8D" w:rsidP="00F80C8D">
      <w:pPr>
        <w:rPr>
          <w:rFonts w:ascii="Arial" w:hAnsi="Arial" w:cs="Arial"/>
          <w:b/>
          <w:bCs/>
          <w:color w:val="000000"/>
          <w:sz w:val="22"/>
          <w:szCs w:val="22"/>
        </w:rPr>
      </w:pPr>
    </w:p>
    <w:p w:rsidR="00F80C8D" w:rsidRPr="00CB53BE" w:rsidRDefault="00F80C8D" w:rsidP="00F80C8D">
      <w:pPr>
        <w:rPr>
          <w:rFonts w:ascii="Arial" w:hAnsi="Arial" w:cs="Arial"/>
          <w:b/>
          <w:bCs/>
          <w:color w:val="000000"/>
          <w:sz w:val="22"/>
          <w:szCs w:val="22"/>
        </w:rPr>
      </w:pPr>
      <w:r w:rsidRPr="00CB53BE">
        <w:rPr>
          <w:rFonts w:ascii="Arial" w:hAnsi="Arial" w:cs="Arial"/>
          <w:b/>
          <w:bCs/>
          <w:color w:val="000000"/>
          <w:sz w:val="22"/>
          <w:szCs w:val="22"/>
        </w:rPr>
        <w:t xml:space="preserve">2. </w:t>
      </w:r>
      <w:bookmarkStart w:id="0" w:name="14aab526f14fc746__Toc297314796"/>
      <w:r w:rsidRPr="00CB53BE">
        <w:rPr>
          <w:rFonts w:ascii="Arial" w:hAnsi="Arial" w:cs="Arial"/>
          <w:b/>
          <w:bCs/>
          <w:color w:val="000000"/>
          <w:sz w:val="22"/>
          <w:szCs w:val="22"/>
        </w:rPr>
        <w:t>Odległość od obiektów sąsiadujących;</w:t>
      </w:r>
      <w:bookmarkEnd w:id="0"/>
    </w:p>
    <w:p w:rsidR="00F80C8D" w:rsidRPr="00CB53BE" w:rsidRDefault="00F80C8D" w:rsidP="00F80C8D">
      <w:pPr>
        <w:rPr>
          <w:rFonts w:ascii="Arial" w:hAnsi="Arial" w:cs="Arial"/>
          <w:b/>
          <w:bCs/>
          <w:color w:val="000000"/>
          <w:sz w:val="22"/>
          <w:szCs w:val="22"/>
        </w:rPr>
      </w:pPr>
      <w:r w:rsidRPr="00CB53BE">
        <w:rPr>
          <w:rFonts w:ascii="Arial" w:hAnsi="Arial" w:cs="Arial"/>
          <w:color w:val="000000"/>
          <w:sz w:val="22"/>
          <w:szCs w:val="22"/>
        </w:rPr>
        <w:t>Najbliższa odległość budynku od innych budynków wynosi  nie mniej niż 8m. Minimalna odległość od granicy działki Inwestora – nie mniej niż 4m.</w:t>
      </w:r>
    </w:p>
    <w:p w:rsidR="00F80C8D" w:rsidRPr="00CB53BE" w:rsidRDefault="00F80C8D" w:rsidP="00F80C8D">
      <w:pPr>
        <w:rPr>
          <w:rFonts w:ascii="Arial" w:hAnsi="Arial" w:cs="Arial"/>
          <w:b/>
          <w:sz w:val="22"/>
          <w:szCs w:val="22"/>
        </w:rPr>
      </w:pPr>
      <w:r w:rsidRPr="00CB53BE">
        <w:rPr>
          <w:rFonts w:ascii="Arial" w:hAnsi="Arial" w:cs="Arial"/>
          <w:b/>
          <w:sz w:val="22"/>
          <w:szCs w:val="22"/>
        </w:rPr>
        <w:t>3. Parametry pożarowe występujących substancji palnych.</w:t>
      </w:r>
    </w:p>
    <w:p w:rsidR="00F80C8D" w:rsidRPr="00CB53BE" w:rsidRDefault="00F80C8D" w:rsidP="00F80C8D">
      <w:pPr>
        <w:rPr>
          <w:rFonts w:ascii="Arial" w:hAnsi="Arial" w:cs="Arial"/>
          <w:sz w:val="22"/>
          <w:szCs w:val="22"/>
        </w:rPr>
      </w:pPr>
      <w:r w:rsidRPr="00CB53BE">
        <w:rPr>
          <w:rFonts w:ascii="Arial" w:hAnsi="Arial" w:cs="Arial"/>
          <w:color w:val="000000"/>
          <w:sz w:val="22"/>
          <w:szCs w:val="22"/>
        </w:rPr>
        <w:t>W  analizowanym budynku nie przewiduje się przechowywania substancji pożarowo niebezpiecznych. Nie przewiduje się przechowywania w obiekcie materiałów niebezpiecznych pożarowo w rozumieniu § 2 ust.1 pkt. 1 Rozporządzenia Ministra Spraw Wewnętrznych i Administracji z dnia 7 czerwca 2010 r. w sprawie ochrony przeciwpożarowej budynków, innych obiektów budowlanych i terenów (Dz. U. nr 109, poz.719)</w:t>
      </w:r>
      <w:r w:rsidRPr="00CB53BE">
        <w:rPr>
          <w:rFonts w:ascii="Arial" w:hAnsi="Arial" w:cs="Arial"/>
          <w:sz w:val="22"/>
          <w:szCs w:val="22"/>
        </w:rPr>
        <w:t>.</w:t>
      </w:r>
    </w:p>
    <w:p w:rsidR="00F80C8D" w:rsidRPr="00CB53BE" w:rsidRDefault="00F80C8D" w:rsidP="00F80C8D">
      <w:pPr>
        <w:rPr>
          <w:rFonts w:ascii="Arial" w:hAnsi="Arial" w:cs="Arial"/>
          <w:b/>
          <w:sz w:val="22"/>
          <w:szCs w:val="22"/>
        </w:rPr>
      </w:pPr>
      <w:r w:rsidRPr="00CB53BE">
        <w:rPr>
          <w:rFonts w:ascii="Arial" w:hAnsi="Arial" w:cs="Arial"/>
          <w:b/>
          <w:sz w:val="22"/>
          <w:szCs w:val="22"/>
        </w:rPr>
        <w:t>4. Przewidywana gęstość obciążenia pożarowego.</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Nie określa się.</w:t>
      </w:r>
    </w:p>
    <w:p w:rsidR="00F80C8D" w:rsidRPr="00CB53BE" w:rsidRDefault="00F80C8D" w:rsidP="00F80C8D">
      <w:pPr>
        <w:rPr>
          <w:rFonts w:ascii="Arial" w:hAnsi="Arial" w:cs="Arial"/>
          <w:b/>
          <w:sz w:val="22"/>
          <w:szCs w:val="22"/>
        </w:rPr>
      </w:pPr>
      <w:r w:rsidRPr="00CB53BE">
        <w:rPr>
          <w:rFonts w:ascii="Arial" w:hAnsi="Arial" w:cs="Arial"/>
          <w:b/>
          <w:sz w:val="22"/>
          <w:szCs w:val="22"/>
        </w:rPr>
        <w:t>5. Kategoria zagrożenia ludzi, przewidywana ilość osób na każdej kondygnacji i w poszczególnych pomieszczeniach.</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Budynek zakwalifikowany jest do kategorii</w:t>
      </w:r>
      <w:r w:rsidRPr="00CB53BE">
        <w:rPr>
          <w:rStyle w:val="apple-converted-space"/>
          <w:rFonts w:ascii="Arial" w:hAnsi="Arial" w:cs="Arial"/>
          <w:color w:val="000000"/>
          <w:sz w:val="22"/>
          <w:szCs w:val="22"/>
        </w:rPr>
        <w:t> </w:t>
      </w:r>
      <w:r w:rsidRPr="00CB53BE">
        <w:rPr>
          <w:rFonts w:ascii="Arial" w:hAnsi="Arial" w:cs="Arial"/>
          <w:color w:val="000000"/>
          <w:sz w:val="22"/>
          <w:szCs w:val="22"/>
        </w:rPr>
        <w:t xml:space="preserve"> ZL III</w:t>
      </w:r>
      <w:r w:rsidRPr="00CB53BE">
        <w:rPr>
          <w:rStyle w:val="apple-converted-space"/>
          <w:rFonts w:ascii="Arial" w:hAnsi="Arial" w:cs="Arial"/>
          <w:color w:val="000000"/>
          <w:sz w:val="22"/>
          <w:szCs w:val="22"/>
        </w:rPr>
        <w:t> </w:t>
      </w:r>
      <w:r w:rsidRPr="00CB53BE">
        <w:rPr>
          <w:rFonts w:ascii="Arial" w:hAnsi="Arial" w:cs="Arial"/>
          <w:color w:val="000000"/>
          <w:sz w:val="22"/>
          <w:szCs w:val="22"/>
        </w:rPr>
        <w:t>zagrożenia ludzi.</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Przewidywana liczba ludzi na poszczególnych kondygnacjach w budynku:</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Parter:    do 10 osób</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poddasze:  do 28 osób</w:t>
      </w:r>
    </w:p>
    <w:p w:rsidR="00F80C8D" w:rsidRPr="00CB53BE" w:rsidRDefault="00F80C8D" w:rsidP="00F80C8D">
      <w:pPr>
        <w:rPr>
          <w:rFonts w:ascii="Arial" w:hAnsi="Arial" w:cs="Arial"/>
          <w:b/>
          <w:sz w:val="22"/>
          <w:szCs w:val="22"/>
        </w:rPr>
      </w:pPr>
      <w:r w:rsidRPr="00CB53BE">
        <w:rPr>
          <w:rFonts w:ascii="Arial" w:hAnsi="Arial" w:cs="Arial"/>
          <w:b/>
          <w:sz w:val="22"/>
          <w:szCs w:val="22"/>
        </w:rPr>
        <w:t>6. Ocena zagrożenia wybuchem pomieszczeń oraz przestrzeni zewnętrznych.</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W projektowanym obiekcie nie będą występowały pomieszczenia/strefy zagrożone wybuchem.</w:t>
      </w:r>
    </w:p>
    <w:p w:rsidR="00F80C8D" w:rsidRPr="00CB53BE" w:rsidRDefault="00F80C8D" w:rsidP="00F80C8D">
      <w:pPr>
        <w:rPr>
          <w:rFonts w:ascii="Arial" w:hAnsi="Arial" w:cs="Arial"/>
          <w:b/>
          <w:sz w:val="22"/>
          <w:szCs w:val="22"/>
        </w:rPr>
      </w:pPr>
      <w:r w:rsidRPr="00CB53BE">
        <w:rPr>
          <w:rFonts w:ascii="Arial" w:hAnsi="Arial" w:cs="Arial"/>
          <w:b/>
          <w:sz w:val="22"/>
          <w:szCs w:val="22"/>
        </w:rPr>
        <w:t>7. Klasa odporności pożarowej budynku oraz klasa odporności ogniowej i stopień rozprzestrzeniania ognia elementów budowlanych.</w:t>
      </w:r>
    </w:p>
    <w:p w:rsidR="00F80C8D" w:rsidRPr="00CB53BE" w:rsidRDefault="00F80C8D" w:rsidP="00F80C8D">
      <w:pPr>
        <w:rPr>
          <w:rFonts w:ascii="Arial" w:hAnsi="Arial" w:cs="Arial"/>
          <w:b/>
          <w:bCs/>
          <w:color w:val="000000"/>
          <w:sz w:val="22"/>
          <w:szCs w:val="22"/>
        </w:rPr>
      </w:pPr>
      <w:r w:rsidRPr="00CB53BE">
        <w:rPr>
          <w:rFonts w:ascii="Arial" w:hAnsi="Arial" w:cs="Arial"/>
          <w:b/>
          <w:bCs/>
          <w:color w:val="000000"/>
          <w:sz w:val="22"/>
          <w:szCs w:val="22"/>
        </w:rPr>
        <w:t>Klasa odporności pożarowej budynku:</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Dla przedmiotowego budynku wymaga się wykonanie w klasie D odporności pożarowej.</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Główna konstrukcja nośna – R300,</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Konstrukcja stropów – REI30</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Ściany działowe, obudowa poziomych dróg ewakuacyjnych</w:t>
      </w:r>
      <w:r w:rsidRPr="00CB53BE">
        <w:rPr>
          <w:rStyle w:val="apple-converted-space"/>
          <w:rFonts w:ascii="Arial" w:hAnsi="Arial" w:cs="Arial"/>
          <w:color w:val="000000"/>
          <w:sz w:val="22"/>
          <w:szCs w:val="22"/>
        </w:rPr>
        <w:t> </w:t>
      </w:r>
      <w:r w:rsidRPr="00CB53BE">
        <w:rPr>
          <w:rFonts w:ascii="Arial" w:hAnsi="Arial" w:cs="Arial"/>
          <w:color w:val="000000"/>
          <w:sz w:val="22"/>
          <w:szCs w:val="22"/>
        </w:rPr>
        <w:t>(dojść ewakuacyjnych) – EI 15</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Obudowa klatki schodowej</w:t>
      </w:r>
      <w:r w:rsidRPr="00CB53BE">
        <w:rPr>
          <w:rFonts w:ascii="Arial" w:hAnsi="Arial" w:cs="Arial"/>
          <w:i/>
          <w:iCs/>
          <w:color w:val="000000"/>
          <w:sz w:val="22"/>
          <w:szCs w:val="22"/>
        </w:rPr>
        <w:t>:</w:t>
      </w:r>
      <w:r w:rsidRPr="00CB53BE">
        <w:rPr>
          <w:rStyle w:val="apple-converted-space"/>
          <w:rFonts w:ascii="Arial" w:hAnsi="Arial" w:cs="Arial"/>
          <w:color w:val="000000"/>
          <w:sz w:val="22"/>
          <w:szCs w:val="22"/>
        </w:rPr>
        <w:t> </w:t>
      </w:r>
      <w:r w:rsidRPr="00CB53BE">
        <w:rPr>
          <w:rFonts w:ascii="Arial" w:hAnsi="Arial" w:cs="Arial"/>
          <w:color w:val="000000"/>
          <w:sz w:val="22"/>
          <w:szCs w:val="22"/>
        </w:rPr>
        <w:t>REI 30</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W zakresie wystroju wnętrz użyte będą wyłącznie:</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xml:space="preserve">- </w:t>
      </w:r>
      <w:r w:rsidRPr="00CB53BE">
        <w:rPr>
          <w:rStyle w:val="apple-converted-space"/>
          <w:rFonts w:ascii="Arial" w:hAnsi="Arial" w:cs="Arial"/>
          <w:color w:val="000000"/>
          <w:sz w:val="22"/>
          <w:szCs w:val="22"/>
        </w:rPr>
        <w:t> </w:t>
      </w:r>
      <w:r w:rsidRPr="00CB53BE">
        <w:rPr>
          <w:rFonts w:ascii="Arial" w:hAnsi="Arial" w:cs="Arial"/>
          <w:color w:val="000000"/>
          <w:sz w:val="22"/>
          <w:szCs w:val="22"/>
        </w:rPr>
        <w:t>materiały,   których   produkty   rozkładu   termicznego   nie   są  bardzo toksyczne i silnie dymiące,</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lastRenderedPageBreak/>
        <w:t>- wykładziny  podłogowe  i  okładziny ścienne  oraz stałych elementów wystroju i wyposażenia wnętrz, co najmniej "trudno zapalne" i nie rozprzestrzeniające ognia,</w:t>
      </w:r>
    </w:p>
    <w:p w:rsidR="00F80C8D" w:rsidRPr="00CB53BE" w:rsidRDefault="00F80C8D" w:rsidP="00F80C8D">
      <w:pPr>
        <w:rPr>
          <w:rFonts w:ascii="Arial" w:hAnsi="Arial" w:cs="Arial"/>
          <w:b/>
          <w:bCs/>
          <w:color w:val="000000"/>
          <w:sz w:val="22"/>
          <w:szCs w:val="22"/>
        </w:rPr>
      </w:pPr>
      <w:r w:rsidRPr="00CB53BE">
        <w:rPr>
          <w:rFonts w:ascii="Arial" w:hAnsi="Arial" w:cs="Arial"/>
          <w:color w:val="000000"/>
          <w:sz w:val="22"/>
          <w:szCs w:val="22"/>
        </w:rPr>
        <w:t>- sufity podwieszane i okładziny sufitowe, co najmniej "niezapalne", nie kapiące i nie odpadające pod wpływem ognia.</w:t>
      </w:r>
    </w:p>
    <w:p w:rsidR="00F80C8D" w:rsidRPr="00CB53BE" w:rsidRDefault="00F80C8D" w:rsidP="00F80C8D">
      <w:pPr>
        <w:rPr>
          <w:rFonts w:ascii="Arial" w:hAnsi="Arial" w:cs="Arial"/>
          <w:b/>
          <w:sz w:val="22"/>
          <w:szCs w:val="22"/>
        </w:rPr>
      </w:pPr>
      <w:r w:rsidRPr="00CB53BE">
        <w:rPr>
          <w:rFonts w:ascii="Arial" w:hAnsi="Arial" w:cs="Arial"/>
          <w:b/>
          <w:sz w:val="22"/>
          <w:szCs w:val="22"/>
        </w:rPr>
        <w:t>9. Warunki ewakuacji, oświetlenie awaryjne (bezpieczeństwa i ewakuacyjne) oraz przeszkodowe.</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xml:space="preserve">Każde z wyjść z poszczególnych lokali na drogę ewakuacji posiada wymiary minimalne 0,9 x </w:t>
      </w:r>
      <w:smartTag w:uri="urn:schemas-microsoft-com:office:smarttags" w:element="metricconverter">
        <w:smartTagPr>
          <w:attr w:name="ProductID" w:val="2,0 m"/>
        </w:smartTagPr>
        <w:r w:rsidRPr="00CB53BE">
          <w:rPr>
            <w:rFonts w:ascii="Arial" w:hAnsi="Arial" w:cs="Arial"/>
            <w:color w:val="000000"/>
            <w:sz w:val="22"/>
            <w:szCs w:val="22"/>
          </w:rPr>
          <w:t>2,0 m</w:t>
        </w:r>
      </w:smartTag>
      <w:r w:rsidRPr="00CB53BE">
        <w:rPr>
          <w:rFonts w:ascii="Arial" w:hAnsi="Arial" w:cs="Arial"/>
          <w:color w:val="000000"/>
          <w:sz w:val="22"/>
          <w:szCs w:val="22"/>
        </w:rPr>
        <w:t xml:space="preserve"> w świetle. Łączna szerokość wyjść ewakuacyjnych dostosowana jest do ilości osób mogących przebywa  w pomieszczeniu. Zapewniono odpowiednie techniczne warunki ewakuacji ludzi z poszczególnych kondygnacji. Łączna szerokość wyjść ewakuacyjnych odpowiada wskaźnikowi </w:t>
      </w:r>
      <w:smartTag w:uri="urn:schemas-microsoft-com:office:smarttags" w:element="metricconverter">
        <w:smartTagPr>
          <w:attr w:name="ProductID" w:val="0,6 m"/>
        </w:smartTagPr>
        <w:r w:rsidRPr="00CB53BE">
          <w:rPr>
            <w:rFonts w:ascii="Arial" w:hAnsi="Arial" w:cs="Arial"/>
            <w:color w:val="000000"/>
            <w:sz w:val="22"/>
            <w:szCs w:val="22"/>
          </w:rPr>
          <w:t>0,6 m</w:t>
        </w:r>
      </w:smartTag>
      <w:r w:rsidRPr="00CB53BE">
        <w:rPr>
          <w:rFonts w:ascii="Arial" w:hAnsi="Arial" w:cs="Arial"/>
          <w:color w:val="000000"/>
          <w:sz w:val="22"/>
          <w:szCs w:val="22"/>
        </w:rPr>
        <w:t xml:space="preserve"> na każde 100 osób mogących przebywa  w danej strefie lub na kondygnacji. Drzwi na drodze ewakuacyjnej z każdej klatki schodowej posiadać będą szerokość wymaganą dla biegów klatki schodowej tj. minimum </w:t>
      </w:r>
      <w:smartTag w:uri="urn:schemas-microsoft-com:office:smarttags" w:element="metricconverter">
        <w:smartTagPr>
          <w:attr w:name="ProductID" w:val="1,2 m"/>
        </w:smartTagPr>
        <w:r w:rsidRPr="00CB53BE">
          <w:rPr>
            <w:rFonts w:ascii="Arial" w:hAnsi="Arial" w:cs="Arial"/>
            <w:color w:val="000000"/>
            <w:sz w:val="22"/>
            <w:szCs w:val="22"/>
          </w:rPr>
          <w:t>1,2 m</w:t>
        </w:r>
      </w:smartTag>
      <w:r w:rsidRPr="00CB53BE">
        <w:rPr>
          <w:rFonts w:ascii="Arial" w:hAnsi="Arial" w:cs="Arial"/>
          <w:color w:val="000000"/>
          <w:sz w:val="22"/>
          <w:szCs w:val="22"/>
        </w:rPr>
        <w:t xml:space="preserve"> (w świetle). Biegi klatki schodowej posiadać  będą minimalną szerokość w świetle nie mniejszą niż </w:t>
      </w:r>
      <w:smartTag w:uri="urn:schemas-microsoft-com:office:smarttags" w:element="metricconverter">
        <w:smartTagPr>
          <w:attr w:name="ProductID" w:val="120 cm"/>
        </w:smartTagPr>
        <w:r w:rsidRPr="00CB53BE">
          <w:rPr>
            <w:rFonts w:ascii="Arial" w:hAnsi="Arial" w:cs="Arial"/>
            <w:color w:val="000000"/>
            <w:sz w:val="22"/>
            <w:szCs w:val="22"/>
          </w:rPr>
          <w:t>120 cm</w:t>
        </w:r>
      </w:smartTag>
      <w:r w:rsidRPr="00CB53BE">
        <w:rPr>
          <w:rFonts w:ascii="Arial" w:hAnsi="Arial" w:cs="Arial"/>
          <w:color w:val="000000"/>
          <w:sz w:val="22"/>
          <w:szCs w:val="22"/>
        </w:rPr>
        <w:t xml:space="preserve">. Spocznik klatki schodowej posiada  minimalną szerokość w świetle nie mniejszą niż </w:t>
      </w:r>
      <w:smartTag w:uri="urn:schemas-microsoft-com:office:smarttags" w:element="metricconverter">
        <w:smartTagPr>
          <w:attr w:name="ProductID" w:val="150 cm"/>
        </w:smartTagPr>
        <w:r w:rsidRPr="00CB53BE">
          <w:rPr>
            <w:rFonts w:ascii="Arial" w:hAnsi="Arial" w:cs="Arial"/>
            <w:color w:val="000000"/>
            <w:sz w:val="22"/>
            <w:szCs w:val="22"/>
          </w:rPr>
          <w:t>150 cm</w:t>
        </w:r>
      </w:smartTag>
      <w:r w:rsidRPr="00CB53BE">
        <w:rPr>
          <w:rFonts w:ascii="Arial" w:hAnsi="Arial" w:cs="Arial"/>
          <w:color w:val="000000"/>
          <w:sz w:val="22"/>
          <w:szCs w:val="22"/>
        </w:rPr>
        <w:t>.</w:t>
      </w:r>
    </w:p>
    <w:p w:rsidR="00F80C8D" w:rsidRPr="00CB53BE" w:rsidRDefault="00F80C8D" w:rsidP="00F80C8D">
      <w:pPr>
        <w:rPr>
          <w:rFonts w:ascii="Arial" w:hAnsi="Arial" w:cs="Arial"/>
          <w:sz w:val="22"/>
          <w:szCs w:val="22"/>
        </w:rPr>
      </w:pPr>
      <w:r w:rsidRPr="00CB53BE">
        <w:rPr>
          <w:rFonts w:ascii="Arial" w:hAnsi="Arial" w:cs="Arial"/>
          <w:b/>
          <w:sz w:val="22"/>
          <w:szCs w:val="22"/>
        </w:rPr>
        <w:t xml:space="preserve">10. </w:t>
      </w:r>
      <w:bookmarkStart w:id="1" w:name="14aab526f14fc746__Toc297314806"/>
      <w:r w:rsidRPr="00CB53BE">
        <w:rPr>
          <w:rFonts w:ascii="Arial" w:hAnsi="Arial" w:cs="Arial"/>
          <w:b/>
          <w:bCs/>
          <w:color w:val="000000"/>
          <w:sz w:val="22"/>
          <w:szCs w:val="22"/>
        </w:rPr>
        <w:t xml:space="preserve">Sposób zabezpieczenia przeciwpożarowego instalacji </w:t>
      </w:r>
      <w:proofErr w:type="spellStart"/>
      <w:r w:rsidRPr="00CB53BE">
        <w:rPr>
          <w:rFonts w:ascii="Arial" w:hAnsi="Arial" w:cs="Arial"/>
          <w:b/>
          <w:bCs/>
          <w:color w:val="000000"/>
          <w:sz w:val="22"/>
          <w:szCs w:val="22"/>
        </w:rPr>
        <w:t>użytkowych,a</w:t>
      </w:r>
      <w:proofErr w:type="spellEnd"/>
      <w:r w:rsidRPr="00CB53BE">
        <w:rPr>
          <w:rFonts w:ascii="Arial" w:hAnsi="Arial" w:cs="Arial"/>
          <w:b/>
          <w:bCs/>
          <w:color w:val="000000"/>
          <w:sz w:val="22"/>
          <w:szCs w:val="22"/>
        </w:rPr>
        <w:t> w szczególności: wentylacyjnej, ogrzewczej, gazowej, elektroenergetycznej, odgromowej;</w:t>
      </w:r>
      <w:bookmarkEnd w:id="1"/>
    </w:p>
    <w:p w:rsidR="00F80C8D" w:rsidRPr="00CB53BE" w:rsidRDefault="00F80C8D" w:rsidP="00F80C8D">
      <w:pPr>
        <w:rPr>
          <w:rFonts w:ascii="Arial" w:hAnsi="Arial" w:cs="Arial"/>
          <w:color w:val="000000"/>
          <w:sz w:val="22"/>
          <w:szCs w:val="22"/>
        </w:rPr>
      </w:pPr>
      <w:r w:rsidRPr="00CB53BE">
        <w:rPr>
          <w:rFonts w:ascii="Arial" w:hAnsi="Arial" w:cs="Arial"/>
          <w:sz w:val="22"/>
          <w:szCs w:val="22"/>
        </w:rPr>
        <w:t xml:space="preserve">- </w:t>
      </w:r>
      <w:r w:rsidRPr="00CB53BE">
        <w:rPr>
          <w:rStyle w:val="apple-converted-space"/>
          <w:rFonts w:ascii="Arial" w:hAnsi="Arial" w:cs="Arial"/>
          <w:color w:val="000000"/>
          <w:sz w:val="22"/>
          <w:szCs w:val="22"/>
        </w:rPr>
        <w:t> </w:t>
      </w:r>
      <w:r w:rsidRPr="00CB53BE">
        <w:rPr>
          <w:rFonts w:ascii="Arial" w:hAnsi="Arial" w:cs="Arial"/>
          <w:color w:val="000000"/>
          <w:sz w:val="22"/>
          <w:szCs w:val="22"/>
        </w:rPr>
        <w:t>Dla obiektu zapewniony będzie przeciwpożarowy wyłącznik prądu, który będzie umożliwiać odłączanie wszystkich  obwodów elektrycznych (dotyczy to również obwodów zasilanych ze źródeł rezerwowych np. agregatów prądotwórczych lub UPS) oprócz obwodów zasilających instalacje i urządzenia, które powinny działać w czasie pożaru.  Przeciwpożarowy wyłącznik umieszczony będzie w pobliżu głównego wejścia do budynku i odpowiednio oznakowany zgodnie z wymaganiami odpowiedniej polskiej normy.</w:t>
      </w:r>
    </w:p>
    <w:p w:rsidR="00F80C8D" w:rsidRPr="00CB53BE" w:rsidRDefault="00F80C8D" w:rsidP="00F80C8D">
      <w:pPr>
        <w:rPr>
          <w:rFonts w:ascii="Arial" w:hAnsi="Arial" w:cs="Arial"/>
          <w:sz w:val="22"/>
          <w:szCs w:val="22"/>
        </w:rPr>
      </w:pPr>
      <w:r w:rsidRPr="00CB53BE">
        <w:rPr>
          <w:rFonts w:ascii="Arial" w:hAnsi="Arial" w:cs="Arial"/>
          <w:color w:val="000000"/>
          <w:sz w:val="22"/>
          <w:szCs w:val="22"/>
        </w:rPr>
        <w:t>- obiekt będzie chroniony instalacją odgromową,</w:t>
      </w:r>
    </w:p>
    <w:p w:rsidR="00F80C8D" w:rsidRPr="00CB53BE" w:rsidRDefault="00F80C8D" w:rsidP="00F80C8D">
      <w:pPr>
        <w:rPr>
          <w:rFonts w:ascii="Arial" w:hAnsi="Arial" w:cs="Arial"/>
          <w:b/>
          <w:sz w:val="22"/>
          <w:szCs w:val="22"/>
          <w:highlight w:val="red"/>
        </w:rPr>
      </w:pPr>
      <w:r w:rsidRPr="00CB53BE">
        <w:rPr>
          <w:rFonts w:ascii="Arial" w:hAnsi="Arial" w:cs="Arial"/>
          <w:b/>
          <w:sz w:val="22"/>
          <w:szCs w:val="22"/>
        </w:rPr>
        <w:t xml:space="preserve">11. </w:t>
      </w:r>
      <w:bookmarkStart w:id="2" w:name="14aab526f14fc746__Toc297314807"/>
      <w:r w:rsidRPr="00CB53BE">
        <w:rPr>
          <w:rFonts w:ascii="Arial" w:hAnsi="Arial" w:cs="Arial"/>
          <w:b/>
          <w:bCs/>
          <w:color w:val="000000"/>
          <w:sz w:val="22"/>
          <w:szCs w:val="22"/>
        </w:rPr>
        <w:t> Dobór urządzeń przeciwpożarowych w obiekcie budowlanym, dostosowany do wymagań wynikających z przepisów dotyczących ochrony przeciwpożarowej i przyjętego scenariusza rozwoju zdarzeń w czasie pożaru, a w szczególności: stałych urządzeń gaśniczych, systemu sygnalizacji pożarowej, dźwiękowego systemu ostrzegawczego, instalacji wodociągowej przeciwpożarowej, urządzeń oddymiających, dźwigów przystosowanych do potrzeb ekip ratowniczych;</w:t>
      </w:r>
      <w:bookmarkEnd w:id="2"/>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Opracowany w projekcie budowlanym scenariusz rozwoju zdarzeń w czasie powstania pożaru poza wskazówkami właściwego doboru urządzeń przeciwpożarowych określa ogólne zasady i procedury postępowania, podczas zdarzeń noszących znamiona pożaru. W budynku nie będzie występowała instalacja wykrywania i sygnalizacji pożaru.</w:t>
      </w:r>
    </w:p>
    <w:p w:rsidR="00F80C8D" w:rsidRPr="00CB53BE" w:rsidRDefault="00F80C8D" w:rsidP="00F80C8D">
      <w:pPr>
        <w:rPr>
          <w:rFonts w:ascii="Arial" w:hAnsi="Arial" w:cs="Arial"/>
          <w:b/>
          <w:bCs/>
          <w:color w:val="000000"/>
          <w:sz w:val="22"/>
          <w:szCs w:val="22"/>
        </w:rPr>
      </w:pPr>
      <w:r w:rsidRPr="00CB53BE">
        <w:rPr>
          <w:rFonts w:ascii="Arial" w:hAnsi="Arial" w:cs="Arial"/>
          <w:b/>
          <w:bCs/>
          <w:color w:val="000000"/>
          <w:sz w:val="22"/>
          <w:szCs w:val="22"/>
        </w:rPr>
        <w:t>Do ochrony obiektu – poszczególnych stref pożarowych  przewiduje się następujące instalacje i urządzenia służące ochronie przeciwpożarowej:</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 oświetlenie awaryjne - system oświetlenia spełniać będzie wymagania norm europejskich, w tym PN EN-1838 oraz PN EN 50172.</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t>Ponadto zastosowane bierne systemy ochrony przeciwpożarowej tj. drzwi przeciwpożarowe do piwnicy, klasy EI 30.</w:t>
      </w:r>
    </w:p>
    <w:p w:rsidR="00F80C8D" w:rsidRPr="00CB53BE" w:rsidRDefault="00F80C8D" w:rsidP="00F80C8D">
      <w:pPr>
        <w:rPr>
          <w:rFonts w:ascii="Arial" w:hAnsi="Arial" w:cs="Arial"/>
          <w:sz w:val="22"/>
          <w:szCs w:val="22"/>
        </w:rPr>
      </w:pPr>
      <w:r w:rsidRPr="00CB53BE">
        <w:rPr>
          <w:rFonts w:ascii="Arial" w:hAnsi="Arial" w:cs="Arial"/>
          <w:b/>
          <w:sz w:val="22"/>
          <w:szCs w:val="22"/>
        </w:rPr>
        <w:t>12. Wyposażenie w gaśnice.</w:t>
      </w:r>
      <w:r w:rsidRPr="00CB53BE">
        <w:rPr>
          <w:rFonts w:ascii="Arial" w:hAnsi="Arial" w:cs="Arial"/>
          <w:sz w:val="22"/>
          <w:szCs w:val="22"/>
        </w:rPr>
        <w:t xml:space="preserve"> </w:t>
      </w:r>
    </w:p>
    <w:p w:rsidR="00F80C8D" w:rsidRPr="00CB53BE" w:rsidRDefault="00F80C8D" w:rsidP="00F80C8D">
      <w:pPr>
        <w:rPr>
          <w:rFonts w:ascii="Arial" w:hAnsi="Arial" w:cs="Arial"/>
          <w:sz w:val="22"/>
          <w:szCs w:val="22"/>
        </w:rPr>
      </w:pPr>
      <w:r w:rsidRPr="00CB53BE">
        <w:rPr>
          <w:rFonts w:ascii="Arial" w:hAnsi="Arial" w:cs="Arial"/>
          <w:color w:val="000000"/>
          <w:sz w:val="22"/>
          <w:szCs w:val="22"/>
        </w:rPr>
        <w:t xml:space="preserve">Zgodnie § 32 Rozporządzenia Ministra Spraw Wewnętrznych i Administracji z dnia 7 czerwca 2010 r. w sprawie ochrony przeciwpożarowej budynków, innych obiektów budowlanych i terenów (Dz. U. nr 109, poz.719) [3.3] obiekt w strefie pożarowej będzie wyposażony w gaśnice przenośne spełniające wymagania Polskich Norm będących odpowiednikami norm europejskich (EN), dotyczących gaśnic. Jedna jednostka masy środka gaśniczego </w:t>
      </w:r>
      <w:smartTag w:uri="urn:schemas-microsoft-com:office:smarttags" w:element="metricconverter">
        <w:smartTagPr>
          <w:attr w:name="ProductID" w:val="2 kg"/>
        </w:smartTagPr>
        <w:r w:rsidRPr="00CB53BE">
          <w:rPr>
            <w:rFonts w:ascii="Arial" w:hAnsi="Arial" w:cs="Arial"/>
            <w:color w:val="000000"/>
            <w:sz w:val="22"/>
            <w:szCs w:val="22"/>
          </w:rPr>
          <w:t>2 kg</w:t>
        </w:r>
      </w:smartTag>
      <w:r w:rsidRPr="00CB53BE">
        <w:rPr>
          <w:rFonts w:ascii="Arial" w:hAnsi="Arial" w:cs="Arial"/>
          <w:color w:val="000000"/>
          <w:sz w:val="22"/>
          <w:szCs w:val="22"/>
        </w:rPr>
        <w:t xml:space="preserve"> (lub 3 dm</w:t>
      </w:r>
      <w:r w:rsidRPr="00CB53BE">
        <w:rPr>
          <w:rFonts w:ascii="Arial" w:hAnsi="Arial" w:cs="Arial"/>
          <w:color w:val="000000"/>
          <w:sz w:val="22"/>
          <w:szCs w:val="22"/>
          <w:vertAlign w:val="superscript"/>
        </w:rPr>
        <w:t>3</w:t>
      </w:r>
      <w:r w:rsidRPr="00CB53BE">
        <w:rPr>
          <w:rFonts w:ascii="Arial" w:hAnsi="Arial" w:cs="Arial"/>
          <w:color w:val="000000"/>
          <w:sz w:val="22"/>
          <w:szCs w:val="22"/>
        </w:rPr>
        <w:t>) zawartego w gaśnicach przypadać będzie  na każde 100 m</w:t>
      </w:r>
      <w:r w:rsidRPr="00CB53BE">
        <w:rPr>
          <w:rFonts w:ascii="Arial" w:hAnsi="Arial" w:cs="Arial"/>
          <w:color w:val="000000"/>
          <w:sz w:val="22"/>
          <w:szCs w:val="22"/>
          <w:vertAlign w:val="superscript"/>
        </w:rPr>
        <w:t>2</w:t>
      </w:r>
      <w:r w:rsidRPr="00CB53BE">
        <w:rPr>
          <w:rStyle w:val="apple-converted-space"/>
          <w:rFonts w:ascii="Arial" w:hAnsi="Arial" w:cs="Arial"/>
          <w:color w:val="000000"/>
          <w:sz w:val="22"/>
          <w:szCs w:val="22"/>
        </w:rPr>
        <w:t> </w:t>
      </w:r>
      <w:r w:rsidRPr="00CB53BE">
        <w:rPr>
          <w:rFonts w:ascii="Arial" w:hAnsi="Arial" w:cs="Arial"/>
          <w:color w:val="000000"/>
          <w:sz w:val="22"/>
          <w:szCs w:val="22"/>
        </w:rPr>
        <w:t xml:space="preserve">powierzchni budynku. Odległość z każdego miejsca, w którym może przebywać człowiek, do najbliższej gaśnicy nie będzie przekraczać </w:t>
      </w:r>
      <w:smartTag w:uri="urn:schemas-microsoft-com:office:smarttags" w:element="metricconverter">
        <w:smartTagPr>
          <w:attr w:name="ProductID" w:val="30 m"/>
        </w:smartTagPr>
        <w:r w:rsidRPr="00CB53BE">
          <w:rPr>
            <w:rFonts w:ascii="Arial" w:hAnsi="Arial" w:cs="Arial"/>
            <w:color w:val="000000"/>
            <w:sz w:val="22"/>
            <w:szCs w:val="22"/>
          </w:rPr>
          <w:t>30 m</w:t>
        </w:r>
      </w:smartTag>
      <w:r w:rsidRPr="00CB53BE">
        <w:rPr>
          <w:rFonts w:ascii="Arial" w:hAnsi="Arial" w:cs="Arial"/>
          <w:color w:val="000000"/>
          <w:sz w:val="22"/>
          <w:szCs w:val="22"/>
        </w:rPr>
        <w:t>.</w:t>
      </w:r>
    </w:p>
    <w:p w:rsidR="00F80C8D" w:rsidRPr="00CB53BE" w:rsidRDefault="00F80C8D" w:rsidP="00F80C8D">
      <w:pPr>
        <w:rPr>
          <w:rFonts w:ascii="Arial" w:hAnsi="Arial" w:cs="Arial"/>
          <w:sz w:val="22"/>
          <w:szCs w:val="22"/>
        </w:rPr>
      </w:pPr>
      <w:r w:rsidRPr="00CB53BE">
        <w:rPr>
          <w:rFonts w:ascii="Arial" w:hAnsi="Arial" w:cs="Arial"/>
          <w:b/>
          <w:sz w:val="22"/>
          <w:szCs w:val="22"/>
        </w:rPr>
        <w:t>13. Zaopatrzenie w wodę do zewnętrznego gaszenia pożaru.</w:t>
      </w:r>
    </w:p>
    <w:p w:rsidR="00F80C8D" w:rsidRPr="00CB53BE" w:rsidRDefault="00F80C8D" w:rsidP="00F80C8D">
      <w:pPr>
        <w:rPr>
          <w:rFonts w:ascii="Arial" w:hAnsi="Arial" w:cs="Arial"/>
          <w:color w:val="000000"/>
          <w:sz w:val="22"/>
          <w:szCs w:val="22"/>
        </w:rPr>
      </w:pPr>
      <w:r w:rsidRPr="00CB53BE">
        <w:rPr>
          <w:rFonts w:ascii="Arial" w:hAnsi="Arial" w:cs="Arial"/>
          <w:color w:val="000000"/>
          <w:sz w:val="22"/>
          <w:szCs w:val="22"/>
        </w:rPr>
        <w:lastRenderedPageBreak/>
        <w:t xml:space="preserve">Dla przedmiotowego budynku wymaga się zapewnienia wody do zewnętrznego gaszenia w ilości 10 l/s. Zaopatrzenie w wodę do zewnętrznego gaszenia zapewnia sieć gminna – hydranty zlokalizowano w odległości do </w:t>
      </w:r>
      <w:smartTag w:uri="urn:schemas-microsoft-com:office:smarttags" w:element="metricconverter">
        <w:smartTagPr>
          <w:attr w:name="ProductID" w:val="75 m"/>
        </w:smartTagPr>
        <w:r w:rsidRPr="00CB53BE">
          <w:rPr>
            <w:rFonts w:ascii="Arial" w:hAnsi="Arial" w:cs="Arial"/>
            <w:color w:val="000000"/>
            <w:sz w:val="22"/>
            <w:szCs w:val="22"/>
          </w:rPr>
          <w:t>75 m</w:t>
        </w:r>
      </w:smartTag>
      <w:r w:rsidRPr="00CB53BE">
        <w:rPr>
          <w:rFonts w:ascii="Arial" w:hAnsi="Arial" w:cs="Arial"/>
          <w:color w:val="000000"/>
          <w:sz w:val="22"/>
          <w:szCs w:val="22"/>
        </w:rPr>
        <w:t xml:space="preserve"> od przedmiotowego budynku </w:t>
      </w:r>
    </w:p>
    <w:p w:rsidR="00F80C8D" w:rsidRPr="00CB53BE" w:rsidRDefault="00F80C8D" w:rsidP="00F80C8D">
      <w:pPr>
        <w:rPr>
          <w:rFonts w:ascii="Arial" w:hAnsi="Arial" w:cs="Arial"/>
          <w:b/>
          <w:sz w:val="22"/>
          <w:szCs w:val="22"/>
        </w:rPr>
      </w:pPr>
      <w:r w:rsidRPr="00CB53BE">
        <w:rPr>
          <w:rFonts w:ascii="Arial" w:hAnsi="Arial" w:cs="Arial"/>
          <w:b/>
          <w:sz w:val="22"/>
          <w:szCs w:val="22"/>
        </w:rPr>
        <w:t xml:space="preserve">14. Drogi pożarowe. </w:t>
      </w:r>
    </w:p>
    <w:p w:rsidR="00F80C8D" w:rsidRPr="00CB53BE" w:rsidRDefault="00F80C8D" w:rsidP="00F80C8D">
      <w:pPr>
        <w:pStyle w:val="Tekstpodstawowy"/>
        <w:rPr>
          <w:rFonts w:ascii="Arial" w:hAnsi="Arial" w:cs="Arial"/>
          <w:b/>
          <w:bCs/>
          <w:sz w:val="22"/>
          <w:szCs w:val="22"/>
        </w:rPr>
      </w:pPr>
      <w:r w:rsidRPr="00CB53BE">
        <w:rPr>
          <w:rFonts w:ascii="Arial" w:hAnsi="Arial" w:cs="Arial"/>
          <w:color w:val="000000"/>
          <w:sz w:val="22"/>
          <w:szCs w:val="22"/>
        </w:rPr>
        <w:t>Dojazd pożarowy jest zapewniony.</w:t>
      </w:r>
    </w:p>
    <w:p w:rsidR="00F80C8D" w:rsidRPr="00CB53BE" w:rsidRDefault="00F80C8D" w:rsidP="00F80C8D">
      <w:pPr>
        <w:pStyle w:val="Tekstpodstawowy"/>
        <w:rPr>
          <w:rFonts w:ascii="Arial" w:hAnsi="Arial" w:cs="Arial"/>
          <w:sz w:val="22"/>
          <w:szCs w:val="22"/>
        </w:rPr>
      </w:pPr>
    </w:p>
    <w:p w:rsidR="00DA00E5" w:rsidRDefault="00DA00E5">
      <w:bookmarkStart w:id="3" w:name="_GoBack"/>
      <w:bookmarkEnd w:id="3"/>
    </w:p>
    <w:sectPr w:rsidR="00DA00E5" w:rsidSect="00B90D3F">
      <w:headerReference w:type="even" r:id="rId4"/>
      <w:headerReference w:type="default" r:id="rId5"/>
      <w:pgSz w:w="12240" w:h="15840"/>
      <w:pgMar w:top="1418" w:right="1418" w:bottom="1418" w:left="1418" w:header="720" w:footer="720" w:gutter="0"/>
      <w:pgNumType w:start="3"/>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457" w:rsidRDefault="00F80C8D" w:rsidP="00033204">
    <w:pPr>
      <w:pStyle w:val="Nagwek"/>
      <w:framePr w:wrap="around" w:vAnchor="text" w:hAnchor="margin" w:xAlign="center" w:y="1"/>
      <w:rPr>
        <w:rStyle w:val="Numerstrony"/>
      </w:rPr>
    </w:pPr>
    <w:r>
      <w:rPr>
        <w:rStyle w:val="Numerstrony"/>
      </w:rPr>
      <w:t xml:space="preserve">PAGE  </w:t>
    </w:r>
    <w:r>
      <w:rPr>
        <w:rStyle w:val="Numerstrony"/>
        <w:noProof/>
      </w:rPr>
      <w:t>4</w:t>
    </w:r>
  </w:p>
  <w:p w:rsidR="00BB2457" w:rsidRDefault="00F80C8D">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457" w:rsidRDefault="00F80C8D">
    <w:pPr>
      <w:pStyle w:val="Nagwek"/>
      <w:jc w:val="center"/>
    </w:pPr>
  </w:p>
  <w:p w:rsidR="00BB2457" w:rsidRDefault="00F80C8D">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C8D"/>
    <w:rsid w:val="00DA00E5"/>
    <w:rsid w:val="00F80C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E6B8A9B-37E9-4A4E-9F31-31A5FCAD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0C8D"/>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F80C8D"/>
    <w:pPr>
      <w:tabs>
        <w:tab w:val="center" w:pos="4536"/>
        <w:tab w:val="right" w:pos="9072"/>
      </w:tabs>
    </w:pPr>
  </w:style>
  <w:style w:type="character" w:customStyle="1" w:styleId="NagwekZnak">
    <w:name w:val="Nagłówek Znak"/>
    <w:basedOn w:val="Domylnaczcionkaakapitu"/>
    <w:link w:val="Nagwek"/>
    <w:uiPriority w:val="99"/>
    <w:rsid w:val="00F80C8D"/>
    <w:rPr>
      <w:rFonts w:ascii="Times New Roman" w:eastAsia="Times New Roman" w:hAnsi="Times New Roman" w:cs="Times New Roman"/>
      <w:sz w:val="20"/>
      <w:szCs w:val="20"/>
      <w:lang w:eastAsia="pl-PL"/>
    </w:rPr>
  </w:style>
  <w:style w:type="character" w:styleId="Numerstrony">
    <w:name w:val="page number"/>
    <w:basedOn w:val="Domylnaczcionkaakapitu"/>
    <w:rsid w:val="00F80C8D"/>
  </w:style>
  <w:style w:type="paragraph" w:styleId="Tekstpodstawowy">
    <w:name w:val="Body Text"/>
    <w:basedOn w:val="Normalny"/>
    <w:link w:val="TekstpodstawowyZnak"/>
    <w:rsid w:val="00F80C8D"/>
    <w:rPr>
      <w:sz w:val="24"/>
      <w:lang w:val="x-none" w:eastAsia="x-none"/>
    </w:rPr>
  </w:style>
  <w:style w:type="character" w:customStyle="1" w:styleId="TekstpodstawowyZnak">
    <w:name w:val="Tekst podstawowy Znak"/>
    <w:basedOn w:val="Domylnaczcionkaakapitu"/>
    <w:link w:val="Tekstpodstawowy"/>
    <w:rsid w:val="00F80C8D"/>
    <w:rPr>
      <w:rFonts w:ascii="Times New Roman" w:eastAsia="Times New Roman" w:hAnsi="Times New Roman" w:cs="Times New Roman"/>
      <w:sz w:val="24"/>
      <w:szCs w:val="20"/>
      <w:lang w:val="x-none" w:eastAsia="x-none"/>
    </w:rPr>
  </w:style>
  <w:style w:type="character" w:customStyle="1" w:styleId="apple-converted-space">
    <w:name w:val="apple-converted-space"/>
    <w:basedOn w:val="Domylnaczcionkaakapitu"/>
    <w:rsid w:val="00F80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963</Words>
  <Characters>5782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Danuta-Lenovo</dc:creator>
  <cp:keywords/>
  <dc:description/>
  <cp:lastModifiedBy>Danuta-Lenovo</cp:lastModifiedBy>
  <cp:revision>1</cp:revision>
  <dcterms:created xsi:type="dcterms:W3CDTF">2015-10-01T19:13:00Z</dcterms:created>
  <dcterms:modified xsi:type="dcterms:W3CDTF">2015-10-01T19:13:00Z</dcterms:modified>
</cp:coreProperties>
</file>